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5BC0BF03"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6B2C69">
        <w:rPr>
          <w:rFonts w:ascii="Cambria" w:eastAsia="Cambria" w:hAnsi="Cambria" w:cs="Cambria"/>
          <w:sz w:val="24"/>
          <w:szCs w:val="24"/>
        </w:rPr>
        <w:t>1 PLAZA</w:t>
      </w:r>
      <w:r w:rsidR="006A4498">
        <w:rPr>
          <w:rFonts w:ascii="Cambria" w:eastAsia="Cambria" w:hAnsi="Cambria" w:cs="Cambria"/>
          <w:sz w:val="24"/>
          <w:szCs w:val="24"/>
        </w:rPr>
        <w:t xml:space="preserve"> </w:t>
      </w:r>
      <w:r w:rsidR="008036F4">
        <w:rPr>
          <w:rFonts w:ascii="Cambria" w:eastAsia="Cambria" w:hAnsi="Cambria" w:cs="Cambria"/>
          <w:sz w:val="24"/>
          <w:szCs w:val="24"/>
        </w:rPr>
        <w:t>PEÓN DE MANTENIMIENTO</w:t>
      </w:r>
      <w:r>
        <w:rPr>
          <w:rFonts w:ascii="Cambria" w:eastAsia="Cambria" w:hAnsi="Cambria" w:cs="Cambria"/>
          <w:sz w:val="24"/>
          <w:szCs w:val="24"/>
        </w:rPr>
        <w:t xml:space="preserve"> PERSONAL</w:t>
      </w:r>
      <w:r w:rsidR="002231D6">
        <w:rPr>
          <w:rFonts w:ascii="Cambria" w:eastAsia="Cambria" w:hAnsi="Cambria" w:cs="Cambria"/>
          <w:sz w:val="24"/>
          <w:szCs w:val="24"/>
        </w:rPr>
        <w:t xml:space="preserve"> LABORAL</w:t>
      </w:r>
    </w:p>
    <w:p w14:paraId="5422D8FB" w14:textId="4C0DCFB9"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CONV_1</w:t>
      </w:r>
      <w:r w:rsidR="008036F4">
        <w:rPr>
          <w:rFonts w:ascii="Cambria" w:eastAsia="Cambria" w:hAnsi="Cambria" w:cs="Cambria"/>
          <w:b/>
          <w:bCs/>
          <w:sz w:val="24"/>
          <w:szCs w:val="24"/>
        </w:rPr>
        <w:t>7</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6A4498"/>
    <w:rsid w:val="006B2C69"/>
    <w:rsid w:val="006E208B"/>
    <w:rsid w:val="007C2786"/>
    <w:rsid w:val="008036F4"/>
    <w:rsid w:val="008B2512"/>
    <w:rsid w:val="00D43686"/>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986</Words>
  <Characters>5424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2023-01-27T08:04:00Z</dcterms:created>
  <dcterms:modified xsi:type="dcterms:W3CDTF">2023-01-27T09:10:00Z</dcterms:modified>
  <dc:language>es-ES</dc:language>
</cp:coreProperties>
</file>